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 xml:space="preserve"> 2021-2022</w:t>
      </w:r>
      <w:bookmarkStart w:id="14" w:name="_GoBack"/>
      <w:bookmarkEnd w:id="14"/>
    </w:p>
    <w:p>
      <w:pPr>
        <w:pStyle w:val="Heading2"/>
        <w:rPr>
          <w:b w:val="0"/>
          <w:bCs/>
          <w:color w:val="auto"/>
          <w:sz w:val="24"/>
          <w:szCs w:val="24"/>
        </w:rPr>
      </w:pPr>
      <w:r>
        <w:rPr>
          <w:b w:val="0"/>
          <w:bCs/>
          <w:color w:val="auto"/>
          <w:sz w:val="24"/>
          <w:szCs w:val="24"/>
        </w:rPr>
        <w:t xml:space="preserve">This statement details our school’s use of pupil premium (and recovery premium for the 2021 to 2022 academic year) funding to help improve the attainment of our disadvantaged pupils. </w:t>
      </w:r>
    </w:p>
    <w:p>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pPr>
              <w:pStyle w:val="TableHeader"/>
              <w:jc w:val="left"/>
            </w:pPr>
            <w:r>
              <w:t>Data</w:t>
            </w:r>
          </w:p>
        </w:tc>
      </w:tr>
      <w:tr>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
            </w:pPr>
            <w:r>
              <w:t>Woodcock Hill Primary School</w:t>
            </w:r>
          </w:p>
        </w:tc>
      </w:tr>
      <w:tr>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
            </w:pPr>
            <w:r>
              <w:t>205</w:t>
            </w:r>
          </w:p>
        </w:tc>
      </w:tr>
      <w:tr>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
            </w:pPr>
            <w:r>
              <w:t>69%</w:t>
            </w:r>
          </w:p>
        </w:tc>
      </w:tr>
      <w:tr>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
            </w:pPr>
            <w:r>
              <w:rPr>
                <w:szCs w:val="22"/>
              </w:rPr>
              <w:t xml:space="preserve">Academic year/years that our current pupil premium strategy plan covers </w:t>
            </w:r>
            <w:r>
              <w:rPr>
                <w:b/>
                <w:bCs/>
                <w:szCs w:val="22"/>
              </w:rPr>
              <w:t>(3 year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
            </w:pPr>
            <w:r>
              <w:t>2021-2022 (Recovery)</w:t>
            </w:r>
          </w:p>
        </w:tc>
      </w:tr>
      <w:tr>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
            </w:pPr>
            <w:r>
              <w:t>December 2021</w:t>
            </w:r>
          </w:p>
        </w:tc>
      </w:tr>
      <w:tr>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
            </w:pPr>
            <w:r>
              <w:t>December 2022</w:t>
            </w:r>
          </w:p>
        </w:tc>
      </w:tr>
      <w:tr>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
            </w:pPr>
            <w:r>
              <w:t>Jayne Kitaratzis</w:t>
            </w:r>
          </w:p>
        </w:tc>
      </w:tr>
      <w:tr>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
            </w:pPr>
            <w:r>
              <w:t>Mark Paine</w:t>
            </w:r>
          </w:p>
        </w:tc>
      </w:tr>
      <w:tr>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
            </w:pPr>
            <w:r>
              <w:t>Sarah Crosby</w:t>
            </w:r>
          </w:p>
        </w:tc>
      </w:tr>
    </w:tbl>
    <w:bookmarkEnd w:id="2"/>
    <w:bookmarkEnd w:id="3"/>
    <w:bookmarkEnd w:id="4"/>
    <w:p>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pPr>
              <w:pStyle w:val="TableRow"/>
            </w:pPr>
            <w:r>
              <w:rPr>
                <w:b/>
              </w:rPr>
              <w:t>Amount</w:t>
            </w:r>
          </w:p>
        </w:tc>
      </w:tr>
      <w:tr>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
            </w:pPr>
            <w:r>
              <w:rPr>
                <w:rFonts w:cs="Arial"/>
                <w:color w:val="222222"/>
                <w:shd w:val="clear" w:color="auto" w:fill="FFFFFF"/>
              </w:rPr>
              <w:t>£192,335</w:t>
            </w:r>
          </w:p>
        </w:tc>
      </w:tr>
      <w:tr>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
            </w:pPr>
            <w:r>
              <w:t>£10,368</w:t>
            </w:r>
          </w:p>
        </w:tc>
      </w:tr>
      <w:tr>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pPr>
              <w:pStyle w:val="TableRow"/>
            </w:pPr>
            <w:r>
              <w:t>COVID Catch Up</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
            </w:pPr>
            <w:r>
              <w:t>£16,560</w:t>
            </w:r>
          </w:p>
        </w:tc>
      </w:tr>
      <w:tr>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pPr>
              <w:pStyle w:val="TableRow"/>
            </w:pPr>
            <w:r>
              <w:t xml:space="preserve">National Tutoring Programme </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
            </w:pPr>
            <w:r>
              <w:t>£7,493</w:t>
            </w:r>
          </w:p>
        </w:tc>
      </w:tr>
      <w:tr>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
            </w:pPr>
            <w:r>
              <w:t>£0</w:t>
            </w:r>
          </w:p>
        </w:tc>
      </w:tr>
      <w:t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
              <w:rPr>
                <w:b/>
              </w:rPr>
            </w:pPr>
            <w:r>
              <w:rPr>
                <w:b/>
              </w:rPr>
              <w:t>Total budget for this academic year</w:t>
            </w:r>
          </w:p>
          <w:p>
            <w:pPr>
              <w:pStyle w:val="TableRow"/>
            </w:pPr>
            <w: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
            </w:pPr>
            <w:r>
              <w:t>£202,703 (Pupil premium + Recovery premium)</w:t>
            </w:r>
          </w:p>
        </w:tc>
      </w:tr>
    </w:tbl>
    <w:p>
      <w:pPr>
        <w:pStyle w:val="Heading1"/>
      </w:pPr>
      <w:r>
        <w:lastRenderedPageBreak/>
        <w:t>Part A: Pupil premium strategy plan</w:t>
      </w:r>
    </w:p>
    <w:p>
      <w:pPr>
        <w:pStyle w:val="Heading2"/>
      </w:pPr>
      <w:bookmarkStart w:id="15" w:name="_Toc357771640"/>
      <w:bookmarkStart w:id="16"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rPr>
                <w:iCs/>
                <w:sz w:val="22"/>
                <w:szCs w:val="22"/>
              </w:rPr>
            </w:pPr>
            <w:r>
              <w:rPr>
                <w:iCs/>
                <w:sz w:val="22"/>
                <w:szCs w:val="22"/>
              </w:rPr>
              <w:t>We aim to use our funding to:</w:t>
            </w:r>
          </w:p>
          <w:p>
            <w:pPr>
              <w:pStyle w:val="ListParagraph"/>
              <w:numPr>
                <w:ilvl w:val="0"/>
                <w:numId w:val="15"/>
              </w:numPr>
              <w:rPr>
                <w:iCs/>
                <w:sz w:val="22"/>
                <w:szCs w:val="22"/>
              </w:rPr>
            </w:pPr>
            <w:r>
              <w:rPr>
                <w:iCs/>
                <w:sz w:val="22"/>
                <w:szCs w:val="22"/>
              </w:rPr>
              <w:t>close the attainment gap between disadvantaged and non-disadvantaged pupils</w:t>
            </w:r>
          </w:p>
          <w:p>
            <w:pPr>
              <w:pStyle w:val="ListParagraph"/>
              <w:numPr>
                <w:ilvl w:val="0"/>
                <w:numId w:val="15"/>
              </w:numPr>
              <w:rPr>
                <w:iCs/>
                <w:sz w:val="22"/>
                <w:szCs w:val="22"/>
              </w:rPr>
            </w:pPr>
            <w:r>
              <w:rPr>
                <w:iCs/>
                <w:sz w:val="22"/>
                <w:szCs w:val="22"/>
              </w:rPr>
              <w:t>achieve national levels of attainment for Reading, Writing and Maths at the end of both KS1 and KS2 with increasing numbers of pupils with low prior attainment achieving age related expectations</w:t>
            </w:r>
          </w:p>
          <w:p>
            <w:pPr>
              <w:pStyle w:val="ListParagraph"/>
              <w:numPr>
                <w:ilvl w:val="0"/>
                <w:numId w:val="15"/>
              </w:numPr>
              <w:rPr>
                <w:iCs/>
                <w:sz w:val="22"/>
                <w:szCs w:val="22"/>
              </w:rPr>
            </w:pPr>
            <w:r>
              <w:rPr>
                <w:iCs/>
                <w:sz w:val="22"/>
                <w:szCs w:val="22"/>
              </w:rPr>
              <w:t>improve access to high quality learning experiences for all pupils</w:t>
            </w:r>
          </w:p>
          <w:p>
            <w:pPr>
              <w:pStyle w:val="ListParagraph"/>
              <w:numPr>
                <w:ilvl w:val="0"/>
                <w:numId w:val="15"/>
              </w:numPr>
              <w:rPr>
                <w:iCs/>
                <w:sz w:val="22"/>
                <w:szCs w:val="22"/>
              </w:rPr>
            </w:pPr>
            <w:r>
              <w:rPr>
                <w:iCs/>
                <w:sz w:val="22"/>
                <w:szCs w:val="22"/>
              </w:rPr>
              <w:t>improve behaviour and attendance through support for pupils’ emotional health</w:t>
            </w:r>
          </w:p>
        </w:tc>
      </w:tr>
    </w:tbl>
    <w:p>
      <w:pPr>
        <w:pStyle w:val="Heading2"/>
        <w:spacing w:before="600"/>
      </w:pPr>
      <w:r>
        <w:t>Challenges</w:t>
      </w:r>
    </w:p>
    <w:p>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pPr>
              <w:pStyle w:val="TableHeader"/>
              <w:jc w:val="left"/>
            </w:pPr>
            <w:r>
              <w:t xml:space="preserve">Detail of challenge </w:t>
            </w:r>
          </w:p>
        </w:tc>
      </w:tr>
      <w:tr>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Centered"/>
              <w:jc w:val="left"/>
            </w:pPr>
            <w:r>
              <w:rPr>
                <w:iCs/>
                <w:sz w:val="22"/>
                <w:szCs w:val="22"/>
              </w:rPr>
              <w:t xml:space="preserve">Low attainment on entry – the majority of pupils enter Reception at below Age Related Expectations in all areas. </w:t>
            </w:r>
          </w:p>
        </w:tc>
      </w:tr>
      <w:tr>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Centered"/>
              <w:jc w:val="left"/>
              <w:rPr>
                <w:sz w:val="22"/>
                <w:szCs w:val="22"/>
              </w:rPr>
            </w:pPr>
            <w:r>
              <w:rPr>
                <w:sz w:val="22"/>
                <w:szCs w:val="22"/>
              </w:rPr>
              <w:t>Historical trend of below national average progress and attainment at the end of KS2.</w:t>
            </w:r>
          </w:p>
        </w:tc>
      </w:tr>
      <w:tr>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Centered"/>
              <w:jc w:val="left"/>
              <w:rPr>
                <w:sz w:val="22"/>
                <w:szCs w:val="22"/>
              </w:rPr>
            </w:pPr>
            <w:r>
              <w:rPr>
                <w:sz w:val="22"/>
                <w:szCs w:val="22"/>
              </w:rPr>
              <w:t>The percentage of disadvantaged pupils is much higher than the national average.</w:t>
            </w:r>
          </w:p>
        </w:tc>
      </w:tr>
      <w:tr>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Centered"/>
              <w:jc w:val="left"/>
              <w:rPr>
                <w:iCs/>
                <w:sz w:val="22"/>
              </w:rPr>
            </w:pPr>
            <w:r>
              <w:rPr>
                <w:iCs/>
                <w:sz w:val="22"/>
              </w:rPr>
              <w:t>Attendance and punctuality have traditionally been below the national average.</w:t>
            </w:r>
          </w:p>
        </w:tc>
      </w:tr>
      <w:tr>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
              <w:rPr>
                <w:sz w:val="22"/>
                <w:szCs w:val="22"/>
              </w:rPr>
            </w:pPr>
            <w:bookmarkStart w:id="17" w:name="_Toc443397160"/>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Centered"/>
              <w:jc w:val="left"/>
              <w:rPr>
                <w:iCs/>
                <w:sz w:val="22"/>
              </w:rPr>
            </w:pPr>
            <w:r>
              <w:rPr>
                <w:iCs/>
                <w:sz w:val="22"/>
              </w:rPr>
              <w:t>Low level of engagement with virtual learning during Lockdown.</w:t>
            </w:r>
          </w:p>
        </w:tc>
      </w:tr>
      <w:tr>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
              <w:rPr>
                <w:sz w:val="22"/>
                <w:szCs w:val="22"/>
              </w:rPr>
            </w:pPr>
            <w:r>
              <w:rPr>
                <w:sz w:val="22"/>
                <w:szCs w:val="22"/>
              </w:rPr>
              <w:t>6</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Centered"/>
              <w:jc w:val="left"/>
              <w:rPr>
                <w:iCs/>
                <w:sz w:val="22"/>
              </w:rPr>
            </w:pPr>
            <w:r>
              <w:rPr>
                <w:iCs/>
                <w:sz w:val="22"/>
              </w:rPr>
              <w:t xml:space="preserve">Loss of learning during Lockdown (including at Nursery stage). </w:t>
            </w:r>
          </w:p>
        </w:tc>
      </w:tr>
    </w:tbl>
    <w:p>
      <w:pPr>
        <w:pStyle w:val="Heading2"/>
        <w:spacing w:before="600"/>
      </w:pPr>
      <w:r>
        <w:t xml:space="preserve">Intended outcomes </w:t>
      </w:r>
    </w:p>
    <w:p>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pPr>
              <w:pStyle w:val="TableHeader"/>
              <w:jc w:val="left"/>
            </w:pPr>
            <w:r>
              <w:t>Success criteria</w:t>
            </w:r>
          </w:p>
        </w:tc>
      </w:tr>
      <w:tr>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
              <w:rPr>
                <w:sz w:val="22"/>
                <w:szCs w:val="22"/>
              </w:rPr>
            </w:pPr>
            <w:r>
              <w:rPr>
                <w:sz w:val="22"/>
                <w:szCs w:val="22"/>
              </w:rPr>
              <w:t>Maintain two year trend of results at or near national expectations for Reading, Writing and Maths at the end of KS2.</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Centered"/>
              <w:jc w:val="left"/>
              <w:rPr>
                <w:sz w:val="22"/>
                <w:szCs w:val="22"/>
              </w:rPr>
            </w:pPr>
            <w:r>
              <w:rPr>
                <w:sz w:val="22"/>
                <w:szCs w:val="22"/>
              </w:rPr>
              <w:t>Combined score for Reading, Writing and Maths at 70%+ in KS 2 SATS May 2022.</w:t>
            </w:r>
          </w:p>
        </w:tc>
      </w:tr>
      <w:tr>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
              <w:rPr>
                <w:sz w:val="22"/>
                <w:szCs w:val="22"/>
              </w:rPr>
            </w:pPr>
            <w:r>
              <w:rPr>
                <w:sz w:val="22"/>
                <w:szCs w:val="22"/>
              </w:rPr>
              <w:t xml:space="preserve">Increase number of pupils achieving at Age Related and Greater Depth in Reading, Writing and Maths at the end of KS1.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Centered"/>
              <w:jc w:val="left"/>
              <w:rPr>
                <w:sz w:val="22"/>
                <w:szCs w:val="22"/>
              </w:rPr>
            </w:pPr>
            <w:r>
              <w:rPr>
                <w:sz w:val="22"/>
                <w:szCs w:val="22"/>
              </w:rPr>
              <w:t xml:space="preserve">Number of pupils achieving at Greater Depth in Reading, Writing and Maths in May 2022 KS1 SATS rises to at least 3. </w:t>
            </w:r>
          </w:p>
        </w:tc>
      </w:tr>
      <w:tr>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
              <w:rPr>
                <w:sz w:val="22"/>
                <w:szCs w:val="22"/>
              </w:rPr>
            </w:pPr>
            <w:r>
              <w:rPr>
                <w:sz w:val="22"/>
                <w:szCs w:val="22"/>
              </w:rPr>
              <w:lastRenderedPageBreak/>
              <w:t xml:space="preserve">Attainment gap closed between pupils receiving Pupil Premium (disadvantaged pupils) and those who are not.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Centered"/>
              <w:jc w:val="left"/>
              <w:rPr>
                <w:sz w:val="22"/>
                <w:szCs w:val="22"/>
              </w:rPr>
            </w:pPr>
            <w:r>
              <w:rPr>
                <w:sz w:val="22"/>
                <w:szCs w:val="22"/>
              </w:rPr>
              <w:t xml:space="preserve">More disadvantaged pupils in all year groups making at least Age Related progress. </w:t>
            </w:r>
          </w:p>
        </w:tc>
      </w:tr>
      <w:tr>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
              <w:rPr>
                <w:sz w:val="22"/>
                <w:szCs w:val="22"/>
              </w:rPr>
            </w:pPr>
            <w:r>
              <w:rPr>
                <w:sz w:val="22"/>
                <w:szCs w:val="22"/>
              </w:rPr>
              <w:t xml:space="preserve">Improve and sustain emotional health of pupils.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Centered"/>
              <w:jc w:val="left"/>
              <w:rPr>
                <w:sz w:val="22"/>
                <w:szCs w:val="22"/>
              </w:rPr>
            </w:pPr>
            <w:r>
              <w:rPr>
                <w:sz w:val="22"/>
                <w:szCs w:val="22"/>
              </w:rPr>
              <w:t xml:space="preserve">Fewer behaviour incidents recorded on SIMS. Improved attendance and punctuality. </w:t>
            </w:r>
          </w:p>
        </w:tc>
      </w:tr>
    </w:tbl>
    <w:p>
      <w:pPr>
        <w:suppressAutoHyphens w:val="0"/>
        <w:spacing w:after="0" w:line="240" w:lineRule="auto"/>
        <w:rPr>
          <w:b/>
          <w:color w:val="104F75"/>
          <w:sz w:val="32"/>
          <w:szCs w:val="32"/>
        </w:rPr>
      </w:pPr>
    </w:p>
    <w:p>
      <w:pPr>
        <w:pStyle w:val="Heading2"/>
      </w:pPr>
      <w:r>
        <w:t>Activity in this academic year</w:t>
      </w:r>
    </w:p>
    <w:p>
      <w:pPr>
        <w:spacing w:after="480"/>
      </w:pPr>
      <w:r>
        <w:t xml:space="preserve">This details how we intend to spend our pupil premium (and recovery premium funding) </w:t>
      </w:r>
      <w:r>
        <w:rPr>
          <w:b/>
          <w:bCs/>
        </w:rPr>
        <w:t>this academic year</w:t>
      </w:r>
      <w:r>
        <w:t xml:space="preserve"> to address the challenges listed above.</w:t>
      </w:r>
    </w:p>
    <w:p>
      <w:pPr>
        <w:pStyle w:val="Heading3"/>
      </w:pPr>
      <w:r>
        <w:t>Teaching (for example, CPD, recruitment and retention)</w:t>
      </w:r>
    </w:p>
    <w:p>
      <w:pPr>
        <w:shd w:val="clear" w:color="auto" w:fill="FFFFFF"/>
        <w:suppressAutoHyphens w:val="0"/>
        <w:spacing w:after="0" w:line="240" w:lineRule="auto"/>
        <w:rPr>
          <w:rFonts w:cs="Arial"/>
          <w:color w:val="222222"/>
        </w:rPr>
      </w:pPr>
      <w:r>
        <w:t>Budgeted cost:</w:t>
      </w:r>
      <w:r>
        <w:rPr>
          <w:rFonts w:cs="Arial"/>
          <w:color w:val="222222"/>
        </w:rPr>
        <w:t xml:space="preserve"> TA's -  £214,872; HLTA's - £67,464 (majority paid out of Pupil Premium funding)</w:t>
      </w:r>
    </w:p>
    <w:tbl>
      <w:tblPr>
        <w:tblW w:w="5000" w:type="pct"/>
        <w:tblCellMar>
          <w:left w:w="10" w:type="dxa"/>
          <w:right w:w="10" w:type="dxa"/>
        </w:tblCellMar>
        <w:tblLook w:val="04A0" w:firstRow="1" w:lastRow="0" w:firstColumn="1" w:lastColumn="0" w:noHBand="0" w:noVBand="1"/>
      </w:tblPr>
      <w:tblGrid>
        <w:gridCol w:w="2688"/>
        <w:gridCol w:w="4254"/>
        <w:gridCol w:w="2544"/>
      </w:tblGrid>
      <w:tr>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pPr>
              <w:pStyle w:val="TableHeader"/>
              <w:jc w:val="left"/>
            </w:pPr>
            <w:r>
              <w:t>Challenge number(s) addressed</w:t>
            </w:r>
          </w:p>
        </w:tc>
      </w:tr>
      <w:tr>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
              <w:rPr>
                <w:sz w:val="22"/>
                <w:szCs w:val="22"/>
              </w:rPr>
            </w:pPr>
            <w:r>
              <w:rPr>
                <w:sz w:val="22"/>
                <w:szCs w:val="22"/>
              </w:rPr>
              <w:t xml:space="preserve">Deploy Teaching Assistants and Higher Level Teaching Assistants to provide targeted interventions in class.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Centered"/>
              <w:jc w:val="left"/>
              <w:rPr>
                <w:sz w:val="22"/>
                <w:szCs w:val="22"/>
              </w:rPr>
            </w:pPr>
            <w:r>
              <w:rPr>
                <w:sz w:val="22"/>
                <w:szCs w:val="22"/>
              </w:rPr>
              <w:t>Targeted interventions in Reading, Writing, Phonics and Maths close gaps caused by lockdown. Afternoon interventions address misconceptions immediately to prevent pupils falling behind. This is evidenced in TA records, pupils’ work and monitoring.</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Centered"/>
              <w:jc w:val="left"/>
              <w:rPr>
                <w:sz w:val="22"/>
                <w:szCs w:val="22"/>
              </w:rPr>
            </w:pPr>
            <w:r>
              <w:rPr>
                <w:sz w:val="22"/>
                <w:szCs w:val="22"/>
              </w:rPr>
              <w:t>1,2,3,5,6</w:t>
            </w:r>
          </w:p>
        </w:tc>
      </w:tr>
    </w:tbl>
    <w:p>
      <w:pPr>
        <w:keepNext/>
        <w:spacing w:after="60"/>
        <w:outlineLvl w:val="1"/>
      </w:pPr>
    </w:p>
    <w:p>
      <w:pPr>
        <w:rPr>
          <w:b/>
          <w:bCs/>
          <w:color w:val="104F75"/>
          <w:sz w:val="28"/>
          <w:szCs w:val="28"/>
        </w:rPr>
      </w:pPr>
      <w:r>
        <w:rPr>
          <w:b/>
          <w:bCs/>
          <w:color w:val="104F75"/>
          <w:sz w:val="28"/>
          <w:szCs w:val="28"/>
        </w:rPr>
        <w:t xml:space="preserve">Targeted academic support (for example, tutoring, one-to-one support structured interventions) </w:t>
      </w:r>
    </w:p>
    <w:p>
      <w:r>
        <w:t>Budgeted cost: £10,368 (+ additional £4,228 from COVID Catch Up)</w:t>
      </w:r>
    </w:p>
    <w:tbl>
      <w:tblPr>
        <w:tblW w:w="5000" w:type="pct"/>
        <w:tblCellMar>
          <w:left w:w="10" w:type="dxa"/>
          <w:right w:w="10" w:type="dxa"/>
        </w:tblCellMar>
        <w:tblLook w:val="04A0" w:firstRow="1" w:lastRow="0" w:firstColumn="1" w:lastColumn="0" w:noHBand="0" w:noVBand="1"/>
      </w:tblPr>
      <w:tblGrid>
        <w:gridCol w:w="2688"/>
        <w:gridCol w:w="4254"/>
        <w:gridCol w:w="2544"/>
      </w:tblGrid>
      <w:tr>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pPr>
              <w:pStyle w:val="TableHeader"/>
              <w:jc w:val="left"/>
            </w:pPr>
            <w:r>
              <w:t>Challenge number(s) addressed</w:t>
            </w:r>
          </w:p>
        </w:tc>
      </w:tr>
      <w:tr>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
              <w:rPr>
                <w:sz w:val="22"/>
                <w:szCs w:val="22"/>
              </w:rPr>
            </w:pPr>
            <w:r>
              <w:rPr>
                <w:sz w:val="22"/>
                <w:szCs w:val="22"/>
              </w:rPr>
              <w:t>KS2 Tutor (Year 5 and Year 6) 2 days a week.</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Centered"/>
              <w:jc w:val="left"/>
              <w:rPr>
                <w:sz w:val="22"/>
              </w:rPr>
            </w:pPr>
            <w:r>
              <w:rPr>
                <w:sz w:val="22"/>
              </w:rPr>
              <w:t xml:space="preserve">Attainment at the end of KS2 has risen from well below national to at national levels in the last three academic years.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Centered"/>
              <w:jc w:val="left"/>
              <w:rPr>
                <w:sz w:val="22"/>
              </w:rPr>
            </w:pPr>
            <w:r>
              <w:rPr>
                <w:sz w:val="22"/>
              </w:rPr>
              <w:t>2,5,6</w:t>
            </w:r>
          </w:p>
        </w:tc>
      </w:tr>
      <w:tr>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
              <w:rPr>
                <w:sz w:val="22"/>
              </w:rPr>
            </w:pPr>
            <w:r>
              <w:rPr>
                <w:sz w:val="22"/>
              </w:rPr>
              <w:t xml:space="preserve">FFT Lightning Squad reading intervention (from January 2022).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Centered"/>
              <w:jc w:val="left"/>
              <w:rPr>
                <w:sz w:val="22"/>
              </w:rPr>
            </w:pPr>
            <w:r>
              <w:rPr>
                <w:sz w:val="22"/>
              </w:rPr>
              <w:t xml:space="preserve">Intervention has proven record of boosting attainment in Reading. 30 pupils targeted in Years 1-5.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Centered"/>
              <w:jc w:val="left"/>
              <w:rPr>
                <w:sz w:val="22"/>
              </w:rPr>
            </w:pPr>
            <w:r>
              <w:rPr>
                <w:sz w:val="22"/>
              </w:rPr>
              <w:t>1,2,3</w:t>
            </w:r>
          </w:p>
        </w:tc>
      </w:tr>
      <w:tr>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
              <w:rPr>
                <w:sz w:val="22"/>
              </w:rPr>
            </w:pPr>
            <w:r>
              <w:rPr>
                <w:sz w:val="22"/>
              </w:rPr>
              <w:t>Seesaw online learning platform.</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Centered"/>
              <w:jc w:val="left"/>
              <w:rPr>
                <w:sz w:val="22"/>
              </w:rPr>
            </w:pPr>
            <w:r>
              <w:rPr>
                <w:sz w:val="22"/>
              </w:rPr>
              <w:t xml:space="preserve">Low level of engagement with blended learning during lockdown necessitated a more effective learning platform.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Centered"/>
              <w:jc w:val="left"/>
              <w:rPr>
                <w:sz w:val="22"/>
              </w:rPr>
            </w:pPr>
            <w:r>
              <w:rPr>
                <w:sz w:val="22"/>
              </w:rPr>
              <w:t>5</w:t>
            </w:r>
          </w:p>
        </w:tc>
      </w:tr>
    </w:tbl>
    <w:p>
      <w:pPr>
        <w:spacing w:after="0"/>
        <w:rPr>
          <w:b/>
          <w:color w:val="104F75"/>
          <w:sz w:val="28"/>
          <w:szCs w:val="28"/>
        </w:rPr>
      </w:pPr>
    </w:p>
    <w:p>
      <w:pPr>
        <w:rPr>
          <w:b/>
          <w:color w:val="104F75"/>
          <w:sz w:val="28"/>
          <w:szCs w:val="28"/>
        </w:rPr>
      </w:pPr>
      <w:r>
        <w:rPr>
          <w:b/>
          <w:color w:val="104F75"/>
          <w:sz w:val="28"/>
          <w:szCs w:val="28"/>
        </w:rPr>
        <w:lastRenderedPageBreak/>
        <w:t>Wider strategies (for example, related to attendance, behaviour, wellbeing)</w:t>
      </w:r>
    </w:p>
    <w:p>
      <w:pPr>
        <w:spacing w:before="240" w:after="120"/>
      </w:pPr>
      <w:r>
        <w:t>Budgeted cost: £5,857</w:t>
      </w:r>
    </w:p>
    <w:tbl>
      <w:tblPr>
        <w:tblW w:w="5000" w:type="pct"/>
        <w:tblCellMar>
          <w:left w:w="10" w:type="dxa"/>
          <w:right w:w="10" w:type="dxa"/>
        </w:tblCellMar>
        <w:tblLook w:val="04A0" w:firstRow="1" w:lastRow="0" w:firstColumn="1" w:lastColumn="0" w:noHBand="0" w:noVBand="1"/>
      </w:tblPr>
      <w:tblGrid>
        <w:gridCol w:w="2688"/>
        <w:gridCol w:w="4254"/>
        <w:gridCol w:w="2544"/>
      </w:tblGrid>
      <w:tr>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pPr>
              <w:pStyle w:val="TableHeader"/>
              <w:jc w:val="left"/>
            </w:pPr>
            <w:r>
              <w:t>Challenge number(s) addressed</w:t>
            </w:r>
          </w:p>
        </w:tc>
      </w:tr>
      <w:tr>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
              <w:rPr>
                <w:sz w:val="22"/>
                <w:szCs w:val="22"/>
              </w:rPr>
            </w:pPr>
            <w:r>
              <w:rPr>
                <w:sz w:val="22"/>
                <w:szCs w:val="22"/>
              </w:rPr>
              <w:t xml:space="preserve">Psychotherapy in schools – 1 day a week sessions with clinical psychotherapist for pupils and staff.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Centered"/>
              <w:jc w:val="left"/>
              <w:rPr>
                <w:sz w:val="22"/>
                <w:szCs w:val="22"/>
              </w:rPr>
            </w:pPr>
            <w:r>
              <w:rPr>
                <w:sz w:val="22"/>
                <w:szCs w:val="22"/>
              </w:rPr>
              <w:t xml:space="preserve">Emotional health of pupils and staff prioritised in school’s Recovery Curriculum plans.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Centered"/>
              <w:jc w:val="left"/>
              <w:rPr>
                <w:sz w:val="22"/>
              </w:rPr>
            </w:pPr>
            <w:r>
              <w:rPr>
                <w:sz w:val="22"/>
              </w:rPr>
              <w:t>4</w:t>
            </w:r>
          </w:p>
        </w:tc>
      </w:tr>
      <w:tr>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
              <w:rPr>
                <w:sz w:val="22"/>
              </w:rPr>
            </w:pPr>
            <w:r>
              <w:rPr>
                <w:sz w:val="22"/>
              </w:rPr>
              <w:t>Musical tuition (ukulele in Year 3 and Year 4).</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Centered"/>
              <w:jc w:val="left"/>
              <w:rPr>
                <w:sz w:val="22"/>
              </w:rPr>
            </w:pPr>
            <w:r>
              <w:rPr>
                <w:sz w:val="22"/>
              </w:rPr>
              <w:t xml:space="preserve">Learning a musical instrument boosts the cultural capital of the pupils and helps to engender a positive attitude to school.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Centered"/>
              <w:jc w:val="left"/>
              <w:rPr>
                <w:sz w:val="22"/>
              </w:rPr>
            </w:pPr>
            <w:r>
              <w:rPr>
                <w:sz w:val="22"/>
              </w:rPr>
              <w:t>3,4</w:t>
            </w:r>
          </w:p>
        </w:tc>
      </w:tr>
    </w:tbl>
    <w:p>
      <w:pPr>
        <w:spacing w:before="240" w:after="0"/>
        <w:rPr>
          <w:b/>
          <w:bCs/>
          <w:color w:val="104F75"/>
          <w:sz w:val="28"/>
          <w:szCs w:val="28"/>
        </w:rPr>
      </w:pPr>
    </w:p>
    <w:p>
      <w:r>
        <w:rPr>
          <w:b/>
          <w:bCs/>
          <w:color w:val="104F75"/>
          <w:sz w:val="28"/>
          <w:szCs w:val="28"/>
        </w:rPr>
        <w:t>Total budgeted cost: £212,988</w:t>
      </w:r>
    </w:p>
    <w:p>
      <w:pPr>
        <w:pStyle w:val="Heading1"/>
      </w:pPr>
      <w:r>
        <w:lastRenderedPageBreak/>
        <w:t>Part B: Review of outcomes in the previous academic year</w:t>
      </w:r>
    </w:p>
    <w:p>
      <w:pPr>
        <w:pStyle w:val="Heading2"/>
      </w:pPr>
      <w:r>
        <w:t>Pupil premium strategy outcomes</w:t>
      </w: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2088"/>
        <w:gridCol w:w="2049"/>
        <w:gridCol w:w="2113"/>
        <w:gridCol w:w="3118"/>
      </w:tblGrid>
      <w:tr>
        <w:trPr>
          <w:cantSplit/>
        </w:trPr>
        <w:tc>
          <w:tcPr>
            <w:tcW w:w="14653" w:type="dxa"/>
            <w:gridSpan w:val="4"/>
            <w:tcBorders>
              <w:top w:val="single" w:sz="4" w:space="0" w:color="12263F"/>
              <w:left w:val="single" w:sz="4" w:space="0" w:color="12263F"/>
              <w:bottom w:val="single" w:sz="4" w:space="0" w:color="12263F"/>
              <w:right w:val="single" w:sz="12" w:space="0" w:color="auto"/>
              <w:tl2br w:val="nil"/>
              <w:tr2bl w:val="nil"/>
            </w:tcBorders>
            <w:shd w:val="clear" w:color="auto" w:fill="DBE5F1" w:themeFill="accent1" w:themeFillTint="33"/>
            <w:tcMar>
              <w:top w:w="113" w:type="dxa"/>
              <w:bottom w:w="113" w:type="dxa"/>
            </w:tcMar>
          </w:tcPr>
          <w:p>
            <w:pPr>
              <w:pStyle w:val="1bodycopy"/>
              <w:spacing w:after="0"/>
              <w:jc w:val="both"/>
              <w:rPr>
                <w:rFonts w:cs="Arial"/>
                <w:b/>
                <w:caps/>
                <w:sz w:val="24"/>
              </w:rPr>
            </w:pPr>
            <w:r>
              <w:rPr>
                <w:rFonts w:cs="Arial"/>
                <w:b/>
                <w:caps/>
                <w:sz w:val="24"/>
              </w:rPr>
              <w:t>2020 - 2021</w:t>
            </w:r>
          </w:p>
        </w:tc>
      </w:tr>
      <w:tr>
        <w:trPr>
          <w:cantSplit/>
        </w:trPr>
        <w:tc>
          <w:tcPr>
            <w:tcW w:w="14653" w:type="dxa"/>
            <w:gridSpan w:val="4"/>
            <w:tcBorders>
              <w:left w:val="single" w:sz="8" w:space="0" w:color="auto"/>
              <w:right w:val="single" w:sz="8" w:space="0" w:color="auto"/>
            </w:tcBorders>
            <w:shd w:val="clear" w:color="auto" w:fill="DBE5F1" w:themeFill="accent1" w:themeFillTint="33"/>
            <w:tcMar>
              <w:top w:w="113" w:type="dxa"/>
              <w:bottom w:w="113" w:type="dxa"/>
            </w:tcMar>
          </w:tcPr>
          <w:p>
            <w:pPr>
              <w:pStyle w:val="7Tablebodycopy"/>
              <w:jc w:val="both"/>
              <w:rPr>
                <w:rFonts w:cs="Arial"/>
                <w:b/>
                <w:sz w:val="24"/>
              </w:rPr>
            </w:pPr>
            <w:r>
              <w:rPr>
                <w:rFonts w:cs="Arial"/>
                <w:b/>
                <w:sz w:val="24"/>
              </w:rPr>
              <w:t>Total amount: £197, 715</w:t>
            </w:r>
          </w:p>
        </w:tc>
      </w:tr>
      <w:tr>
        <w:trPr>
          <w:cantSplit/>
        </w:trPr>
        <w:tc>
          <w:tcPr>
            <w:tcW w:w="3037" w:type="dxa"/>
            <w:tcBorders>
              <w:left w:val="single" w:sz="8" w:space="0" w:color="auto"/>
              <w:bottom w:val="single" w:sz="8" w:space="0" w:color="auto"/>
              <w:right w:val="single" w:sz="8" w:space="0" w:color="auto"/>
            </w:tcBorders>
            <w:shd w:val="clear" w:color="auto" w:fill="auto"/>
            <w:tcMar>
              <w:top w:w="113" w:type="dxa"/>
              <w:bottom w:w="113" w:type="dxa"/>
            </w:tcMar>
          </w:tcPr>
          <w:p>
            <w:pPr>
              <w:pStyle w:val="7Tablebodycopy"/>
              <w:jc w:val="both"/>
              <w:rPr>
                <w:rFonts w:cs="Arial"/>
                <w:b/>
                <w:sz w:val="24"/>
              </w:rPr>
            </w:pPr>
            <w:r>
              <w:rPr>
                <w:rFonts w:cs="Arial"/>
                <w:b/>
                <w:sz w:val="24"/>
              </w:rPr>
              <w:t>Action</w:t>
            </w:r>
          </w:p>
        </w:tc>
        <w:tc>
          <w:tcPr>
            <w:tcW w:w="3060" w:type="dxa"/>
            <w:tcBorders>
              <w:left w:val="single" w:sz="8" w:space="0" w:color="auto"/>
              <w:bottom w:val="single" w:sz="8" w:space="0" w:color="auto"/>
              <w:right w:val="single" w:sz="8" w:space="0" w:color="auto"/>
            </w:tcBorders>
            <w:shd w:val="clear" w:color="auto" w:fill="auto"/>
            <w:tcMar>
              <w:top w:w="113" w:type="dxa"/>
              <w:bottom w:w="113" w:type="dxa"/>
            </w:tcMar>
          </w:tcPr>
          <w:p>
            <w:pPr>
              <w:pStyle w:val="7Tablebodycopy"/>
              <w:jc w:val="both"/>
              <w:rPr>
                <w:rFonts w:cs="Arial"/>
                <w:b/>
                <w:sz w:val="24"/>
              </w:rPr>
            </w:pPr>
            <w:r>
              <w:rPr>
                <w:rFonts w:cs="Arial"/>
                <w:b/>
                <w:sz w:val="24"/>
              </w:rPr>
              <w:t>Intended outcome</w:t>
            </w:r>
          </w:p>
        </w:tc>
        <w:tc>
          <w:tcPr>
            <w:tcW w:w="3330" w:type="dxa"/>
            <w:tcBorders>
              <w:left w:val="single" w:sz="8" w:space="0" w:color="auto"/>
              <w:bottom w:val="single" w:sz="8" w:space="0" w:color="auto"/>
              <w:right w:val="single" w:sz="8" w:space="0" w:color="auto"/>
            </w:tcBorders>
          </w:tcPr>
          <w:p>
            <w:pPr>
              <w:pStyle w:val="7Tablebodycopy"/>
              <w:jc w:val="both"/>
              <w:rPr>
                <w:rFonts w:cs="Arial"/>
                <w:b/>
                <w:sz w:val="24"/>
              </w:rPr>
            </w:pPr>
            <w:r>
              <w:rPr>
                <w:rFonts w:cs="Arial"/>
                <w:b/>
                <w:sz w:val="24"/>
              </w:rPr>
              <w:t>Impact</w:t>
            </w:r>
          </w:p>
        </w:tc>
        <w:tc>
          <w:tcPr>
            <w:tcW w:w="5226" w:type="dxa"/>
            <w:tcBorders>
              <w:left w:val="single" w:sz="8" w:space="0" w:color="auto"/>
              <w:bottom w:val="single" w:sz="8" w:space="0" w:color="auto"/>
              <w:right w:val="single" w:sz="8" w:space="0" w:color="auto"/>
            </w:tcBorders>
          </w:tcPr>
          <w:p>
            <w:pPr>
              <w:pStyle w:val="7Tablebodycopy"/>
              <w:jc w:val="both"/>
              <w:rPr>
                <w:rFonts w:cs="Arial"/>
                <w:b/>
                <w:sz w:val="24"/>
              </w:rPr>
            </w:pPr>
            <w:r>
              <w:rPr>
                <w:rFonts w:cs="Arial"/>
                <w:b/>
                <w:sz w:val="24"/>
              </w:rPr>
              <w:t>Lessons learned and initiatives taken as a result</w:t>
            </w:r>
          </w:p>
          <w:p>
            <w:pPr>
              <w:pStyle w:val="7Tablebodycopy"/>
              <w:jc w:val="both"/>
              <w:rPr>
                <w:rFonts w:cs="Arial"/>
                <w:b/>
                <w:sz w:val="24"/>
              </w:rPr>
            </w:pPr>
          </w:p>
        </w:tc>
      </w:tr>
      <w:tr>
        <w:trPr>
          <w:cantSplit/>
        </w:trPr>
        <w:tc>
          <w:tcPr>
            <w:tcW w:w="3037" w:type="dxa"/>
            <w:tcBorders>
              <w:top w:val="single" w:sz="8" w:space="0" w:color="auto"/>
              <w:left w:val="single" w:sz="8" w:space="0" w:color="auto"/>
              <w:bottom w:val="single" w:sz="8" w:space="0" w:color="auto"/>
              <w:right w:val="single" w:sz="8" w:space="0" w:color="auto"/>
            </w:tcBorders>
            <w:shd w:val="clear" w:color="auto" w:fill="auto"/>
            <w:tcMar>
              <w:top w:w="113" w:type="dxa"/>
              <w:bottom w:w="113" w:type="dxa"/>
            </w:tcMar>
          </w:tcPr>
          <w:p>
            <w:pPr>
              <w:pStyle w:val="7Tablebodycopy"/>
              <w:jc w:val="both"/>
              <w:rPr>
                <w:rFonts w:cs="Arial"/>
                <w:sz w:val="24"/>
              </w:rPr>
            </w:pPr>
            <w:r>
              <w:rPr>
                <w:rFonts w:cs="Arial"/>
                <w:sz w:val="24"/>
              </w:rPr>
              <w:t xml:space="preserve">Teaching            Assistants in each year group </w:t>
            </w:r>
          </w:p>
        </w:tc>
        <w:tc>
          <w:tcPr>
            <w:tcW w:w="3060" w:type="dxa"/>
            <w:tcBorders>
              <w:top w:val="single" w:sz="8" w:space="0" w:color="auto"/>
              <w:left w:val="single" w:sz="8" w:space="0" w:color="auto"/>
              <w:bottom w:val="single" w:sz="8" w:space="0" w:color="auto"/>
              <w:right w:val="single" w:sz="8" w:space="0" w:color="auto"/>
            </w:tcBorders>
            <w:shd w:val="clear" w:color="auto" w:fill="auto"/>
            <w:tcMar>
              <w:top w:w="113" w:type="dxa"/>
              <w:bottom w:w="113" w:type="dxa"/>
            </w:tcMar>
          </w:tcPr>
          <w:p>
            <w:pPr>
              <w:pStyle w:val="7Tablebodycopy"/>
              <w:jc w:val="both"/>
              <w:rPr>
                <w:rFonts w:cs="Arial"/>
                <w:sz w:val="24"/>
              </w:rPr>
            </w:pPr>
            <w:r>
              <w:rPr>
                <w:rFonts w:cs="Arial"/>
                <w:sz w:val="24"/>
              </w:rPr>
              <w:t xml:space="preserve">Support for pupils at all levels, including SEND and High Achievers leading to closing the gap. </w:t>
            </w:r>
          </w:p>
        </w:tc>
        <w:tc>
          <w:tcPr>
            <w:tcW w:w="3330" w:type="dxa"/>
            <w:tcBorders>
              <w:top w:val="single" w:sz="8" w:space="0" w:color="auto"/>
              <w:left w:val="single" w:sz="8" w:space="0" w:color="auto"/>
              <w:bottom w:val="single" w:sz="8" w:space="0" w:color="auto"/>
              <w:right w:val="single" w:sz="8" w:space="0" w:color="auto"/>
            </w:tcBorders>
          </w:tcPr>
          <w:p>
            <w:pPr>
              <w:pStyle w:val="7Tablebodycopy"/>
              <w:jc w:val="both"/>
              <w:rPr>
                <w:rFonts w:cs="Arial"/>
                <w:sz w:val="24"/>
              </w:rPr>
            </w:pPr>
            <w:r>
              <w:rPr>
                <w:rFonts w:cs="Arial"/>
                <w:sz w:val="24"/>
              </w:rPr>
              <w:t xml:space="preserve">Continued rise in attainment at the end of KS2 - high percentage of pupils with SEND and PP recipients in Year 6. Increase in number of pupils working at Greater Depth at end of KS2. Targeted close the gap interventions in place during afternoon sessions. Attainment at the end of EYFS and KS1 low with 38% of pupils reaching EYFS goals and no pupils achieving Greater depth at the end of Year 2. </w:t>
            </w:r>
          </w:p>
        </w:tc>
        <w:tc>
          <w:tcPr>
            <w:tcW w:w="5226" w:type="dxa"/>
            <w:tcBorders>
              <w:top w:val="single" w:sz="8" w:space="0" w:color="auto"/>
              <w:left w:val="single" w:sz="8" w:space="0" w:color="auto"/>
              <w:bottom w:val="single" w:sz="8" w:space="0" w:color="auto"/>
              <w:right w:val="single" w:sz="8" w:space="0" w:color="auto"/>
            </w:tcBorders>
          </w:tcPr>
          <w:p>
            <w:pPr>
              <w:pStyle w:val="7Tablebodycopy"/>
              <w:jc w:val="both"/>
              <w:rPr>
                <w:rFonts w:cs="Arial"/>
                <w:sz w:val="24"/>
              </w:rPr>
            </w:pPr>
            <w:r>
              <w:rPr>
                <w:rFonts w:cs="Arial"/>
                <w:sz w:val="24"/>
              </w:rPr>
              <w:t>Teacher support targeted in KS1 from September 2021. Re-organisation of staffing structure – EYFS TA moved into Year 1 to support with phonics and communication.</w:t>
            </w:r>
          </w:p>
          <w:p>
            <w:pPr>
              <w:pStyle w:val="7Tablebodycopy"/>
              <w:jc w:val="both"/>
              <w:rPr>
                <w:rFonts w:cs="Arial"/>
                <w:sz w:val="24"/>
              </w:rPr>
            </w:pPr>
            <w:r>
              <w:rPr>
                <w:rFonts w:cs="Arial"/>
                <w:sz w:val="24"/>
              </w:rPr>
              <w:t>New Review and Monitoring schedule from September 2019.</w:t>
            </w:r>
          </w:p>
        </w:tc>
      </w:tr>
      <w:tr>
        <w:trPr>
          <w:cantSplit/>
        </w:trPr>
        <w:tc>
          <w:tcPr>
            <w:tcW w:w="3037" w:type="dxa"/>
            <w:tcBorders>
              <w:top w:val="single" w:sz="8" w:space="0" w:color="auto"/>
              <w:left w:val="single" w:sz="8" w:space="0" w:color="auto"/>
              <w:right w:val="single" w:sz="8" w:space="0" w:color="auto"/>
            </w:tcBorders>
            <w:shd w:val="clear" w:color="auto" w:fill="auto"/>
            <w:tcMar>
              <w:top w:w="113" w:type="dxa"/>
              <w:bottom w:w="113" w:type="dxa"/>
            </w:tcMar>
          </w:tcPr>
          <w:p>
            <w:pPr>
              <w:pStyle w:val="7Tablebodycopy"/>
              <w:jc w:val="both"/>
              <w:rPr>
                <w:rFonts w:cs="Arial"/>
                <w:sz w:val="24"/>
              </w:rPr>
            </w:pPr>
            <w:r>
              <w:rPr>
                <w:rFonts w:cs="Arial"/>
                <w:sz w:val="24"/>
              </w:rPr>
              <w:lastRenderedPageBreak/>
              <w:t xml:space="preserve">Higher Level Teaching Assistants x 2 </w:t>
            </w:r>
          </w:p>
        </w:tc>
        <w:tc>
          <w:tcPr>
            <w:tcW w:w="3060" w:type="dxa"/>
            <w:tcBorders>
              <w:top w:val="single" w:sz="8" w:space="0" w:color="auto"/>
              <w:left w:val="single" w:sz="8" w:space="0" w:color="auto"/>
              <w:right w:val="single" w:sz="8" w:space="0" w:color="auto"/>
            </w:tcBorders>
            <w:shd w:val="clear" w:color="auto" w:fill="auto"/>
            <w:tcMar>
              <w:top w:w="113" w:type="dxa"/>
              <w:bottom w:w="113" w:type="dxa"/>
            </w:tcMar>
          </w:tcPr>
          <w:p>
            <w:pPr>
              <w:pStyle w:val="7Tablebodycopy"/>
              <w:jc w:val="both"/>
              <w:rPr>
                <w:rFonts w:cs="Arial"/>
                <w:sz w:val="24"/>
              </w:rPr>
            </w:pPr>
            <w:r>
              <w:rPr>
                <w:rFonts w:cs="Arial"/>
                <w:sz w:val="24"/>
              </w:rPr>
              <w:t xml:space="preserve">Enhanced support for pupils at all levels – targeted predominantly in Key Stage 1 for early intervention to prevent progress/attainment gaps in Key Stage 2. </w:t>
            </w:r>
          </w:p>
        </w:tc>
        <w:tc>
          <w:tcPr>
            <w:tcW w:w="3330" w:type="dxa"/>
            <w:tcBorders>
              <w:top w:val="single" w:sz="8" w:space="0" w:color="auto"/>
              <w:left w:val="single" w:sz="8" w:space="0" w:color="auto"/>
              <w:right w:val="single" w:sz="8" w:space="0" w:color="auto"/>
            </w:tcBorders>
          </w:tcPr>
          <w:p>
            <w:pPr>
              <w:pStyle w:val="7Tablebodycopy"/>
              <w:jc w:val="both"/>
              <w:rPr>
                <w:rFonts w:cs="Arial"/>
                <w:sz w:val="24"/>
              </w:rPr>
            </w:pPr>
            <w:r>
              <w:rPr>
                <w:rFonts w:cs="Arial"/>
                <w:sz w:val="24"/>
              </w:rPr>
              <w:t xml:space="preserve">Targeted pupils in upper KS2 experienced improved attainment from September 2020. </w:t>
            </w:r>
          </w:p>
          <w:p>
            <w:pPr>
              <w:pStyle w:val="7Tablebodycopy"/>
              <w:jc w:val="both"/>
              <w:rPr>
                <w:rFonts w:cs="Arial"/>
                <w:sz w:val="24"/>
              </w:rPr>
            </w:pPr>
            <w:r>
              <w:rPr>
                <w:rFonts w:cs="Arial"/>
                <w:sz w:val="24"/>
              </w:rPr>
              <w:t xml:space="preserve">Lower attainment at the end of EYFS and KS1. </w:t>
            </w:r>
          </w:p>
        </w:tc>
        <w:tc>
          <w:tcPr>
            <w:tcW w:w="5226" w:type="dxa"/>
            <w:tcBorders>
              <w:top w:val="single" w:sz="8" w:space="0" w:color="auto"/>
              <w:left w:val="single" w:sz="8" w:space="0" w:color="auto"/>
              <w:right w:val="single" w:sz="8" w:space="0" w:color="auto"/>
            </w:tcBorders>
          </w:tcPr>
          <w:p>
            <w:pPr>
              <w:pStyle w:val="7Tablebodycopy"/>
              <w:jc w:val="both"/>
              <w:rPr>
                <w:rFonts w:cs="Arial"/>
                <w:sz w:val="24"/>
              </w:rPr>
            </w:pPr>
            <w:r>
              <w:rPr>
                <w:rFonts w:cs="Arial"/>
                <w:sz w:val="24"/>
              </w:rPr>
              <w:t xml:space="preserve">KS1 HLTA to focus on phonics and language due to low number of children at Age Related and none at Greater Depth in Reading and Writing. </w:t>
            </w:r>
          </w:p>
          <w:p>
            <w:pPr>
              <w:pStyle w:val="7Tablebodycopy"/>
              <w:jc w:val="both"/>
              <w:rPr>
                <w:rFonts w:cs="Arial"/>
                <w:sz w:val="24"/>
              </w:rPr>
            </w:pPr>
          </w:p>
          <w:p>
            <w:pPr>
              <w:pStyle w:val="7Tablebodycopy"/>
              <w:jc w:val="both"/>
              <w:rPr>
                <w:rFonts w:cs="Arial"/>
                <w:sz w:val="24"/>
              </w:rPr>
            </w:pPr>
          </w:p>
          <w:p>
            <w:pPr>
              <w:pStyle w:val="7Tablebodycopy"/>
              <w:jc w:val="both"/>
              <w:rPr>
                <w:rFonts w:cs="Arial"/>
                <w:sz w:val="24"/>
              </w:rPr>
            </w:pPr>
          </w:p>
          <w:p>
            <w:pPr>
              <w:pStyle w:val="7Tablebodycopy"/>
              <w:jc w:val="both"/>
              <w:rPr>
                <w:rFonts w:cs="Arial"/>
                <w:sz w:val="24"/>
              </w:rPr>
            </w:pPr>
          </w:p>
        </w:tc>
      </w:tr>
      <w:tr>
        <w:trPr>
          <w:cantSplit/>
        </w:trPr>
        <w:tc>
          <w:tcPr>
            <w:tcW w:w="3037" w:type="dxa"/>
            <w:tcBorders>
              <w:top w:val="single" w:sz="8" w:space="0" w:color="auto"/>
              <w:left w:val="single" w:sz="8" w:space="0" w:color="auto"/>
              <w:bottom w:val="single" w:sz="8" w:space="0" w:color="auto"/>
              <w:right w:val="single" w:sz="8" w:space="0" w:color="auto"/>
            </w:tcBorders>
            <w:shd w:val="clear" w:color="auto" w:fill="auto"/>
            <w:tcMar>
              <w:top w:w="113" w:type="dxa"/>
              <w:bottom w:w="113" w:type="dxa"/>
            </w:tcMar>
          </w:tcPr>
          <w:p>
            <w:pPr>
              <w:pStyle w:val="7Tablebodycopy"/>
              <w:jc w:val="both"/>
              <w:rPr>
                <w:rFonts w:cs="Arial"/>
                <w:sz w:val="24"/>
              </w:rPr>
            </w:pPr>
            <w:r>
              <w:rPr>
                <w:rFonts w:cs="Arial"/>
                <w:sz w:val="24"/>
              </w:rPr>
              <w:t xml:space="preserve">SENDCO </w:t>
            </w:r>
          </w:p>
          <w:p>
            <w:pPr>
              <w:pStyle w:val="7Tablebodycopy"/>
              <w:jc w:val="both"/>
              <w:rPr>
                <w:rFonts w:cs="Arial"/>
                <w:sz w:val="24"/>
              </w:rPr>
            </w:pPr>
            <w:r>
              <w:rPr>
                <w:rFonts w:cs="Arial"/>
                <w:sz w:val="24"/>
              </w:rPr>
              <w:t>(2 additional days)</w:t>
            </w:r>
          </w:p>
        </w:tc>
        <w:tc>
          <w:tcPr>
            <w:tcW w:w="3060" w:type="dxa"/>
            <w:tcBorders>
              <w:top w:val="single" w:sz="8" w:space="0" w:color="auto"/>
              <w:left w:val="single" w:sz="8" w:space="0" w:color="auto"/>
              <w:bottom w:val="single" w:sz="8" w:space="0" w:color="auto"/>
              <w:right w:val="single" w:sz="8" w:space="0" w:color="auto"/>
            </w:tcBorders>
            <w:shd w:val="clear" w:color="auto" w:fill="auto"/>
            <w:tcMar>
              <w:top w:w="113" w:type="dxa"/>
              <w:bottom w:w="113" w:type="dxa"/>
            </w:tcMar>
          </w:tcPr>
          <w:p>
            <w:pPr>
              <w:pStyle w:val="7Tablebodycopy"/>
              <w:jc w:val="both"/>
              <w:rPr>
                <w:rFonts w:cs="Arial"/>
                <w:sz w:val="24"/>
              </w:rPr>
            </w:pPr>
            <w:r>
              <w:rPr>
                <w:rFonts w:cs="Arial"/>
                <w:sz w:val="24"/>
              </w:rPr>
              <w:t xml:space="preserve">Support teaching and learning throughout the school leading to improved pupil outcomes. </w:t>
            </w:r>
          </w:p>
        </w:tc>
        <w:tc>
          <w:tcPr>
            <w:tcW w:w="3330" w:type="dxa"/>
            <w:tcBorders>
              <w:left w:val="single" w:sz="8" w:space="0" w:color="auto"/>
              <w:bottom w:val="single" w:sz="8" w:space="0" w:color="auto"/>
              <w:right w:val="single" w:sz="8" w:space="0" w:color="auto"/>
            </w:tcBorders>
          </w:tcPr>
          <w:p>
            <w:pPr>
              <w:pStyle w:val="7Tablebodycopy"/>
              <w:jc w:val="both"/>
              <w:rPr>
                <w:rFonts w:cs="Arial"/>
                <w:sz w:val="24"/>
              </w:rPr>
            </w:pPr>
            <w:r>
              <w:rPr>
                <w:rFonts w:cs="Arial"/>
                <w:sz w:val="24"/>
              </w:rPr>
              <w:t xml:space="preserve">DHT able to resume duties. Records and other paperwork up to date. Two pupils moved to EHCP (one KS1, 1 KS2). </w:t>
            </w:r>
          </w:p>
        </w:tc>
        <w:tc>
          <w:tcPr>
            <w:tcW w:w="5226" w:type="dxa"/>
            <w:tcBorders>
              <w:left w:val="single" w:sz="8" w:space="0" w:color="auto"/>
              <w:bottom w:val="single" w:sz="8" w:space="0" w:color="auto"/>
              <w:right w:val="single" w:sz="8" w:space="0" w:color="auto"/>
            </w:tcBorders>
          </w:tcPr>
          <w:p>
            <w:pPr>
              <w:pStyle w:val="7Tablebodycopy"/>
              <w:jc w:val="both"/>
              <w:rPr>
                <w:rFonts w:cs="Arial"/>
                <w:sz w:val="24"/>
              </w:rPr>
            </w:pPr>
            <w:r>
              <w:rPr>
                <w:rFonts w:cs="Arial"/>
                <w:sz w:val="24"/>
              </w:rPr>
              <w:t xml:space="preserve">New SENDCO employed (0.8) from September 2021. </w:t>
            </w:r>
          </w:p>
        </w:tc>
      </w:tr>
      <w:tr>
        <w:trPr>
          <w:cantSplit/>
        </w:trPr>
        <w:tc>
          <w:tcPr>
            <w:tcW w:w="3037" w:type="dxa"/>
            <w:tcBorders>
              <w:top w:val="single" w:sz="8" w:space="0" w:color="auto"/>
              <w:left w:val="single" w:sz="8" w:space="0" w:color="auto"/>
              <w:bottom w:val="single" w:sz="8" w:space="0" w:color="auto"/>
              <w:right w:val="single" w:sz="8" w:space="0" w:color="auto"/>
            </w:tcBorders>
            <w:shd w:val="clear" w:color="auto" w:fill="auto"/>
            <w:tcMar>
              <w:top w:w="113" w:type="dxa"/>
              <w:bottom w:w="113" w:type="dxa"/>
            </w:tcMar>
          </w:tcPr>
          <w:p>
            <w:pPr>
              <w:pStyle w:val="7Tablebodycopy"/>
              <w:jc w:val="both"/>
              <w:rPr>
                <w:rFonts w:cs="Arial"/>
                <w:sz w:val="24"/>
              </w:rPr>
            </w:pPr>
            <w:r>
              <w:rPr>
                <w:rFonts w:cs="Arial"/>
                <w:sz w:val="24"/>
              </w:rPr>
              <w:t xml:space="preserve">Instrument </w:t>
            </w:r>
          </w:p>
          <w:p>
            <w:pPr>
              <w:pStyle w:val="7Tablebodycopy"/>
              <w:jc w:val="both"/>
              <w:rPr>
                <w:rFonts w:cs="Arial"/>
                <w:sz w:val="24"/>
              </w:rPr>
            </w:pPr>
            <w:r>
              <w:rPr>
                <w:rFonts w:cs="Arial"/>
                <w:sz w:val="24"/>
              </w:rPr>
              <w:t>Tuition</w:t>
            </w:r>
          </w:p>
        </w:tc>
        <w:tc>
          <w:tcPr>
            <w:tcW w:w="3060" w:type="dxa"/>
            <w:tcBorders>
              <w:top w:val="single" w:sz="8" w:space="0" w:color="auto"/>
              <w:left w:val="single" w:sz="8" w:space="0" w:color="auto"/>
              <w:bottom w:val="single" w:sz="8" w:space="0" w:color="auto"/>
              <w:right w:val="single" w:sz="8" w:space="0" w:color="auto"/>
            </w:tcBorders>
            <w:shd w:val="clear" w:color="auto" w:fill="auto"/>
            <w:tcMar>
              <w:top w:w="113" w:type="dxa"/>
              <w:bottom w:w="113" w:type="dxa"/>
            </w:tcMar>
          </w:tcPr>
          <w:p>
            <w:pPr>
              <w:pStyle w:val="7Tablebodycopy"/>
              <w:jc w:val="both"/>
              <w:rPr>
                <w:rFonts w:cs="Arial"/>
                <w:sz w:val="24"/>
              </w:rPr>
            </w:pPr>
            <w:r>
              <w:rPr>
                <w:rFonts w:cs="Arial"/>
                <w:noProof/>
                <w:sz w:val="24"/>
                <w:lang w:val="en-GB" w:eastAsia="en-GB"/>
              </w:rPr>
              <mc:AlternateContent>
                <mc:Choice Requires="wps">
                  <w:drawing>
                    <wp:anchor distT="0" distB="0" distL="114300" distR="114300" simplePos="0" relativeHeight="251660288" behindDoc="0" locked="0" layoutInCell="1" allowOverlap="1">
                      <wp:simplePos x="0" y="0"/>
                      <wp:positionH relativeFrom="column">
                        <wp:posOffset>-823595</wp:posOffset>
                      </wp:positionH>
                      <wp:positionV relativeFrom="paragraph">
                        <wp:posOffset>1868805</wp:posOffset>
                      </wp:positionV>
                      <wp:extent cx="5419725" cy="9525"/>
                      <wp:effectExtent l="9525" t="11430" r="9525" b="762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419725" cy="9525"/>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1="http://schemas.microsoft.com/office/drawing/2015/9/8/chartex">
                  <w:pict>
                    <v:shapetype id="_x0000_t32" coordsize="21600,21600" o:spt="32" o:oned="t" path="m,l21600,21600e" filled="f">
                      <v:path arrowok="t" fillok="f" o:connecttype="none"/>
                      <o:lock v:ext="edit" shapetype="t"/>
                    </v:shapetype>
                    <v:shape id="Straight Arrow Connector 2" o:spid="_x0000_s1026" type="#_x0000_t32" style="position:absolute;margin-left:-64.85pt;margin-top:147.15pt;width:426.75pt;height:.75pt;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"/>
                  </w:pict>
                </mc:Fallback>
              </mc:AlternateContent>
            </w:r>
            <w:r>
              <w:rPr>
                <w:rFonts w:cs="Arial"/>
                <w:sz w:val="24"/>
              </w:rPr>
              <w:t xml:space="preserve">Provide pupils with opportunity to develop their cultural capital. Increased pupil confidence and emotional health and improved behavior in target year groups. </w:t>
            </w:r>
          </w:p>
        </w:tc>
        <w:tc>
          <w:tcPr>
            <w:tcW w:w="3330" w:type="dxa"/>
            <w:tcBorders>
              <w:top w:val="single" w:sz="8" w:space="0" w:color="auto"/>
              <w:left w:val="single" w:sz="8" w:space="0" w:color="auto"/>
              <w:right w:val="single" w:sz="8" w:space="0" w:color="auto"/>
            </w:tcBorders>
          </w:tcPr>
          <w:p>
            <w:pPr>
              <w:pStyle w:val="7Tablebodycopy"/>
              <w:jc w:val="both"/>
              <w:rPr>
                <w:rFonts w:cs="Arial"/>
                <w:sz w:val="24"/>
              </w:rPr>
            </w:pPr>
            <w:r>
              <w:rPr>
                <w:rFonts w:cs="Arial"/>
                <w:sz w:val="24"/>
              </w:rPr>
              <w:t>Analysis shows decline in behavior incidents since 2019-2020.</w:t>
            </w:r>
          </w:p>
        </w:tc>
        <w:tc>
          <w:tcPr>
            <w:tcW w:w="5226" w:type="dxa"/>
            <w:tcBorders>
              <w:top w:val="single" w:sz="8" w:space="0" w:color="auto"/>
              <w:left w:val="single" w:sz="8" w:space="0" w:color="auto"/>
              <w:right w:val="single" w:sz="8" w:space="0" w:color="auto"/>
            </w:tcBorders>
          </w:tcPr>
          <w:p>
            <w:pPr>
              <w:pStyle w:val="7Tablebodycopy"/>
              <w:jc w:val="both"/>
              <w:rPr>
                <w:rFonts w:cs="Arial"/>
                <w:sz w:val="24"/>
              </w:rPr>
            </w:pPr>
            <w:r>
              <w:rPr>
                <w:rFonts w:cs="Arial"/>
                <w:sz w:val="24"/>
              </w:rPr>
              <w:t xml:space="preserve">Continue with present initiative. </w:t>
            </w:r>
          </w:p>
        </w:tc>
      </w:tr>
    </w:tbl>
    <w:p/>
    <w:bookmarkEnd w:id="15"/>
    <w:bookmarkEnd w:id="16"/>
    <w:bookmarkEnd w:id="17"/>
    <w:sectPr>
      <w:headerReference w:type="default" r:id="rId7"/>
      <w:footerReference w:type="default" r:id="rId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Footer"/>
      <w:ind w:firstLine="4513"/>
    </w:pPr>
    <w:r>
      <w:fldChar w:fldCharType="begin"/>
    </w:r>
    <w:r>
      <w:instrText xml:space="preserve"> PAGE </w:instrText>
    </w:r>
    <w:r>
      <w:fldChar w:fldCharType="separate"/>
    </w:r>
    <w:r>
      <w:rPr>
        <w:noProof/>
      </w:rPr>
      <w:t>2</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pPr>
        <w:spacing w:after="0" w:line="240" w:lineRule="auto"/>
      </w:pPr>
      <w:r>
        <w:separator/>
      </w:r>
    </w:p>
  </w:footnote>
  <w:footnote w:type="continuationSeparator" w:id="0">
    <w:p>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5F10B01"/>
    <w:multiLevelType w:val="hybridMultilevel"/>
    <w:tmpl w:val="0F382E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630F0388"/>
    <w:multiLevelType w:val="hybridMultilevel"/>
    <w:tmpl w:val="3F9E1D80"/>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0"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2"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3"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4"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3"/>
  </w:num>
  <w:num w:numId="2">
    <w:abstractNumId w:val="1"/>
  </w:num>
  <w:num w:numId="3">
    <w:abstractNumId w:val="4"/>
  </w:num>
  <w:num w:numId="4">
    <w:abstractNumId w:val="5"/>
  </w:num>
  <w:num w:numId="5">
    <w:abstractNumId w:val="0"/>
  </w:num>
  <w:num w:numId="6">
    <w:abstractNumId w:val="7"/>
  </w:num>
  <w:num w:numId="7">
    <w:abstractNumId w:val="10"/>
  </w:num>
  <w:num w:numId="8">
    <w:abstractNumId w:val="14"/>
  </w:num>
  <w:num w:numId="9">
    <w:abstractNumId w:val="12"/>
  </w:num>
  <w:num w:numId="10">
    <w:abstractNumId w:val="11"/>
  </w:num>
  <w:num w:numId="11">
    <w:abstractNumId w:val="2"/>
  </w:num>
  <w:num w:numId="12">
    <w:abstractNumId w:val="13"/>
  </w:num>
  <w:num w:numId="13">
    <w:abstractNumId w:val="8"/>
  </w:num>
  <w:num w:numId="14">
    <w:abstractNumId w:val="9"/>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customStyle="1" w:styleId="1bodycopy">
    <w:name w:val="1 body copy"/>
    <w:basedOn w:val="Normal"/>
    <w:link w:val="1bodycopyChar"/>
    <w:qFormat/>
    <w:pPr>
      <w:suppressAutoHyphens w:val="0"/>
      <w:autoSpaceDN/>
      <w:spacing w:after="120" w:line="240" w:lineRule="auto"/>
    </w:pPr>
    <w:rPr>
      <w:rFonts w:eastAsia="MS Mincho"/>
      <w:color w:val="auto"/>
      <w:sz w:val="20"/>
      <w:lang w:val="en-US" w:eastAsia="en-US"/>
    </w:rPr>
  </w:style>
  <w:style w:type="character" w:customStyle="1" w:styleId="1bodycopyChar">
    <w:name w:val="1 body copy Char"/>
    <w:link w:val="1bodycopy"/>
    <w:rPr>
      <w:rFonts w:eastAsia="MS Mincho"/>
      <w:szCs w:val="24"/>
      <w:lang w:val="en-US" w:eastAsia="en-US"/>
    </w:rPr>
  </w:style>
  <w:style w:type="paragraph" w:customStyle="1" w:styleId="7Tablebodycopy">
    <w:name w:val="7 Table body copy"/>
    <w:basedOn w:val="1bodycopy"/>
    <w:qFormat/>
    <w:pPr>
      <w:spacing w:after="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5651179">
      <w:bodyDiv w:val="1"/>
      <w:marLeft w:val="0"/>
      <w:marRight w:val="0"/>
      <w:marTop w:val="0"/>
      <w:marBottom w:val="0"/>
      <w:divBdr>
        <w:top w:val="none" w:sz="0" w:space="0" w:color="auto"/>
        <w:left w:val="none" w:sz="0" w:space="0" w:color="auto"/>
        <w:bottom w:val="none" w:sz="0" w:space="0" w:color="auto"/>
        <w:right w:val="none" w:sz="0" w:space="0" w:color="auto"/>
      </w:divBdr>
      <w:divsChild>
        <w:div w:id="624434828">
          <w:marLeft w:val="0"/>
          <w:marRight w:val="0"/>
          <w:marTop w:val="0"/>
          <w:marBottom w:val="0"/>
          <w:divBdr>
            <w:top w:val="none" w:sz="0" w:space="0" w:color="auto"/>
            <w:left w:val="none" w:sz="0" w:space="0" w:color="auto"/>
            <w:bottom w:val="none" w:sz="0" w:space="0" w:color="auto"/>
            <w:right w:val="none" w:sz="0" w:space="0" w:color="auto"/>
          </w:divBdr>
        </w:div>
        <w:div w:id="167787586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1136</Words>
  <Characters>6477</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7598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Mark Paine</cp:lastModifiedBy>
  <cp:revision>2</cp:revision>
  <cp:lastPrinted>2014-09-17T13:26:00Z</cp:lastPrinted>
  <dcterms:created xsi:type="dcterms:W3CDTF">2021-12-14T13:59:00Z</dcterms:created>
  <dcterms:modified xsi:type="dcterms:W3CDTF">2021-12-14T13:59:00Z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